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145534520" w:edGrp="everyone"/>
      <w:r w:rsidR="00F830E6">
        <w:rPr>
          <w:sz w:val="16"/>
          <w:szCs w:val="16"/>
          <w:lang w:val="ru-RU"/>
        </w:rPr>
        <w:t>____</w:t>
      </w:r>
      <w:permEnd w:id="1145534520"/>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w:t>
      </w:r>
      <w:permStart w:id="1041833129" w:edGrp="everyone"/>
      <w:r w:rsidR="00F830E6">
        <w:rPr>
          <w:sz w:val="16"/>
          <w:szCs w:val="16"/>
        </w:rPr>
        <w:t>___________</w:t>
      </w:r>
      <w:permEnd w:id="1041833129"/>
      <w:r w:rsidR="00F830E6">
        <w:rPr>
          <w:sz w:val="16"/>
          <w:szCs w:val="16"/>
        </w:rPr>
        <w:t>_</w:t>
      </w:r>
      <w:r w:rsidR="0065075B" w:rsidRPr="0065075B">
        <w:rPr>
          <w:sz w:val="16"/>
          <w:szCs w:val="16"/>
        </w:rPr>
        <w:t xml:space="preserve"> </w:t>
      </w:r>
      <w:r w:rsidR="00F830E6">
        <w:rPr>
          <w:sz w:val="16"/>
          <w:szCs w:val="16"/>
        </w:rPr>
        <w:t xml:space="preserve"> </w:t>
      </w:r>
      <w:permStart w:id="803669479" w:edGrp="everyone"/>
      <w:r w:rsidR="00F830E6">
        <w:rPr>
          <w:sz w:val="16"/>
          <w:szCs w:val="16"/>
        </w:rPr>
        <w:t>________</w:t>
      </w:r>
      <w:permEnd w:id="803669479"/>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22B6FEB6" w:rsidR="0073636A" w:rsidRPr="00182E66" w:rsidRDefault="0073636A" w:rsidP="0073636A">
      <w:pPr>
        <w:pStyle w:val="af"/>
        <w:tabs>
          <w:tab w:val="left" w:pos="9354"/>
        </w:tabs>
        <w:spacing w:after="0"/>
        <w:ind w:right="-2"/>
        <w:jc w:val="center"/>
        <w:rPr>
          <w:b/>
          <w:lang w:val="uk-UA"/>
        </w:rPr>
      </w:pPr>
      <w:r w:rsidRPr="00182E66">
        <w:rPr>
          <w:b/>
          <w:lang w:val="uk-UA"/>
        </w:rPr>
        <w:t>ТОВ «Ю-ГАЗ»</w:t>
      </w:r>
    </w:p>
    <w:p w14:paraId="4EF79418" w14:textId="4798E976"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720E5E">
        <w:rPr>
          <w:b/>
          <w:bCs/>
          <w:sz w:val="22"/>
          <w:szCs w:val="22"/>
          <w:lang w:eastAsia="ru-RU"/>
        </w:rPr>
        <w:t>лютий</w:t>
      </w:r>
      <w:r w:rsidR="0044332F">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61564BA8"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permStart w:id="253251075" w:edGrp="everyone"/>
            <w:r>
              <w:rPr>
                <w:b/>
                <w:color w:val="000000"/>
                <w:sz w:val="22"/>
                <w:szCs w:val="22"/>
                <w:lang w:eastAsia="ru-RU"/>
              </w:rPr>
              <w:t xml:space="preserve">                                                                                                   </w:t>
            </w:r>
            <w:permEnd w:id="253251075"/>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permStart w:id="967915324" w:edGrp="everyone"/>
            <w:r>
              <w:rPr>
                <w:sz w:val="22"/>
                <w:szCs w:val="22"/>
              </w:rPr>
              <w:t xml:space="preserve">                                                                                                   </w:t>
            </w:r>
            <w:permEnd w:id="967915324"/>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1856F7DF" w14:textId="77777777" w:rsidR="00DA4E47" w:rsidRDefault="00DA4E47" w:rsidP="00BF0E6D">
            <w:pPr>
              <w:jc w:val="both"/>
              <w:rPr>
                <w:sz w:val="22"/>
                <w:szCs w:val="22"/>
                <w:lang w:eastAsia="ru-RU"/>
              </w:rPr>
            </w:pPr>
          </w:p>
          <w:p w14:paraId="6F8104DA" w14:textId="47B25D86" w:rsid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720E5E" w:rsidRPr="00720E5E">
              <w:rPr>
                <w:sz w:val="22"/>
                <w:szCs w:val="22"/>
                <w:lang w:eastAsia="ru-RU"/>
              </w:rPr>
              <w:t>5 265,90</w:t>
            </w:r>
            <w:r w:rsidR="00720E5E">
              <w:rPr>
                <w:sz w:val="22"/>
                <w:szCs w:val="22"/>
                <w:lang w:eastAsia="ru-RU"/>
              </w:rPr>
              <w:t xml:space="preserve"> </w:t>
            </w:r>
            <w:r w:rsidR="00F16117" w:rsidRPr="00CB7C5E">
              <w:rPr>
                <w:sz w:val="22"/>
                <w:szCs w:val="22"/>
                <w:lang w:eastAsia="ru-RU"/>
              </w:rPr>
              <w:t xml:space="preserve">грн., крім того ПДВ 20%  </w:t>
            </w:r>
            <w:r w:rsidR="00720E5E" w:rsidRPr="00720E5E">
              <w:rPr>
                <w:sz w:val="22"/>
                <w:szCs w:val="22"/>
                <w:lang w:eastAsia="ru-RU"/>
              </w:rPr>
              <w:t>1053,18</w:t>
            </w:r>
            <w:r w:rsidR="00720E5E">
              <w:rPr>
                <w:sz w:val="22"/>
                <w:szCs w:val="22"/>
                <w:lang w:eastAsia="ru-RU"/>
              </w:rPr>
              <w:t xml:space="preserve"> </w:t>
            </w:r>
            <w:r w:rsidR="00F16117" w:rsidRPr="00CB7C5E">
              <w:rPr>
                <w:sz w:val="22"/>
                <w:szCs w:val="22"/>
                <w:lang w:eastAsia="ru-RU"/>
              </w:rPr>
              <w:t xml:space="preserve">грн., разом з ПДВ </w:t>
            </w:r>
            <w:r w:rsidR="00720E5E" w:rsidRPr="00720E5E">
              <w:rPr>
                <w:sz w:val="22"/>
                <w:szCs w:val="22"/>
                <w:lang w:eastAsia="ru-RU"/>
              </w:rPr>
              <w:t xml:space="preserve">6 319,08 </w:t>
            </w:r>
            <w:r w:rsidR="00F16117" w:rsidRPr="00CB7C5E">
              <w:rPr>
                <w:sz w:val="22"/>
                <w:szCs w:val="22"/>
                <w:lang w:eastAsia="ru-RU"/>
              </w:rPr>
              <w:t>(</w:t>
            </w:r>
            <w:r w:rsidR="0044332F">
              <w:rPr>
                <w:sz w:val="22"/>
                <w:szCs w:val="22"/>
                <w:lang w:eastAsia="ru-RU"/>
              </w:rPr>
              <w:t xml:space="preserve">шість тисяч </w:t>
            </w:r>
            <w:r w:rsidR="00720E5E">
              <w:rPr>
                <w:sz w:val="22"/>
                <w:szCs w:val="22"/>
                <w:lang w:eastAsia="ru-RU"/>
              </w:rPr>
              <w:t>триста дев’ятнадцять</w:t>
            </w:r>
            <w:r w:rsidR="00F16117" w:rsidRPr="00CB7C5E">
              <w:rPr>
                <w:sz w:val="22"/>
                <w:szCs w:val="22"/>
                <w:lang w:eastAsia="ru-RU"/>
              </w:rPr>
              <w:t xml:space="preserve">) грн. </w:t>
            </w:r>
            <w:r w:rsidR="00720E5E">
              <w:rPr>
                <w:sz w:val="22"/>
                <w:szCs w:val="22"/>
                <w:lang w:eastAsia="ru-RU"/>
              </w:rPr>
              <w:t>08</w:t>
            </w:r>
            <w:r w:rsidR="006E0C1F">
              <w:rPr>
                <w:sz w:val="22"/>
                <w:szCs w:val="22"/>
                <w:lang w:eastAsia="ru-RU"/>
              </w:rPr>
              <w:t xml:space="preserve"> </w:t>
            </w:r>
            <w:r w:rsidR="006E0C1F" w:rsidRPr="00CB7C5E">
              <w:rPr>
                <w:sz w:val="22"/>
                <w:szCs w:val="22"/>
                <w:lang w:eastAsia="ru-RU"/>
              </w:rPr>
              <w:t>коп</w:t>
            </w:r>
            <w:r w:rsidRPr="00625653">
              <w:rPr>
                <w:sz w:val="22"/>
                <w:szCs w:val="22"/>
                <w:lang w:eastAsia="ru-RU"/>
              </w:rPr>
              <w:t xml:space="preserve">. за 1 </w:t>
            </w:r>
            <w:proofErr w:type="spellStart"/>
            <w:r w:rsidRPr="00625653">
              <w:rPr>
                <w:sz w:val="22"/>
                <w:szCs w:val="22"/>
                <w:lang w:eastAsia="ru-RU"/>
              </w:rPr>
              <w:t>мВт</w:t>
            </w:r>
            <w:proofErr w:type="spellEnd"/>
            <w:r w:rsidRPr="00625653">
              <w:rPr>
                <w:sz w:val="22"/>
                <w:szCs w:val="22"/>
                <w:lang w:eastAsia="ru-RU"/>
              </w:rPr>
              <w:t>*год.</w:t>
            </w:r>
          </w:p>
          <w:p w14:paraId="60D9C0B5" w14:textId="5B6FEA6B" w:rsidR="00DA4E47" w:rsidRPr="00B17497" w:rsidRDefault="00DA4E47" w:rsidP="00BF0E6D">
            <w:pPr>
              <w:jc w:val="both"/>
              <w:rPr>
                <w:sz w:val="22"/>
                <w:szCs w:val="22"/>
                <w:lang w:eastAsia="ru-RU"/>
              </w:rPr>
            </w:pP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lastRenderedPageBreak/>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79749F3B"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720E5E">
              <w:rPr>
                <w:rFonts w:eastAsia="Calibri" w:cs="Times New Roman"/>
                <w:sz w:val="22"/>
                <w:szCs w:val="22"/>
              </w:rPr>
              <w:t>лютий</w:t>
            </w:r>
            <w:r w:rsidR="0044332F">
              <w:rPr>
                <w:rFonts w:eastAsia="Calibri" w:cs="Times New Roman"/>
                <w:sz w:val="22"/>
                <w:szCs w:val="22"/>
              </w:rPr>
              <w:t xml:space="preserve"> 2024</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766391043" w:edGrp="everyone"/>
      <w:r>
        <w:rPr>
          <w:b/>
          <w:color w:val="000000"/>
          <w:sz w:val="22"/>
          <w:szCs w:val="22"/>
          <w:lang w:val="ru-RU" w:eastAsia="ru-RU"/>
        </w:rPr>
        <w:t>_________________</w:t>
      </w:r>
      <w:permEnd w:id="766391043"/>
    </w:p>
    <w:p w14:paraId="1E101623" w14:textId="77777777" w:rsidR="00544C0C" w:rsidRPr="004C3303" w:rsidRDefault="00544C0C" w:rsidP="00544C0C">
      <w:pPr>
        <w:contextualSpacing/>
        <w:jc w:val="both"/>
        <w:rPr>
          <w:b/>
          <w:color w:val="000000"/>
          <w:sz w:val="22"/>
          <w:szCs w:val="22"/>
          <w:lang w:eastAsia="ru-RU"/>
        </w:rPr>
      </w:pPr>
      <w:permStart w:id="1227313062" w:edGrp="everyone"/>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ermEnd w:id="1227313062"/>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172121687" w:edGrp="everyone"/>
      <w:r w:rsidR="00F830E6">
        <w:rPr>
          <w:b/>
          <w:color w:val="000000"/>
          <w:sz w:val="22"/>
          <w:szCs w:val="22"/>
          <w:lang w:eastAsia="ru-RU"/>
        </w:rPr>
        <w:t xml:space="preserve">                 </w:t>
      </w:r>
      <w:permEnd w:id="172121687"/>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641017305" w:edGrp="everyone"/>
      <w:r w:rsidR="00F830E6">
        <w:rPr>
          <w:b/>
          <w:color w:val="000000"/>
          <w:sz w:val="22"/>
          <w:szCs w:val="22"/>
          <w:lang w:eastAsia="ru-RU"/>
        </w:rPr>
        <w:t>_____</w:t>
      </w:r>
      <w:permEnd w:id="641017305"/>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w:t>
      </w:r>
      <w:permStart w:id="1366645120" w:edGrp="everyone"/>
      <w:r w:rsidR="00F830E6">
        <w:rPr>
          <w:b/>
          <w:color w:val="000000"/>
          <w:sz w:val="22"/>
          <w:szCs w:val="22"/>
          <w:lang w:eastAsia="ru-RU"/>
        </w:rPr>
        <w:t>__________</w:t>
      </w:r>
      <w:permEnd w:id="1366645120"/>
      <w:r w:rsidR="00F830E6">
        <w:rPr>
          <w:b/>
          <w:color w:val="000000"/>
          <w:sz w:val="22"/>
          <w:szCs w:val="22"/>
          <w:lang w:eastAsia="ru-RU"/>
        </w:rPr>
        <w:t>_</w:t>
      </w:r>
      <w:r w:rsidRPr="008B3362">
        <w:rPr>
          <w:b/>
          <w:color w:val="000000"/>
          <w:sz w:val="22"/>
          <w:szCs w:val="22"/>
          <w:lang w:eastAsia="ru-RU"/>
        </w:rPr>
        <w:t xml:space="preserve"> </w:t>
      </w:r>
      <w:permStart w:id="97129803" w:edGrp="everyone"/>
      <w:r w:rsidR="00F830E6">
        <w:rPr>
          <w:b/>
          <w:color w:val="000000"/>
          <w:sz w:val="22"/>
          <w:szCs w:val="22"/>
          <w:lang w:eastAsia="ru-RU"/>
        </w:rPr>
        <w:t>________</w:t>
      </w:r>
      <w:permEnd w:id="97129803"/>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0ct5m1orCjFEf/sht+XOUvukFu2w3WmXC1+97b8oyIZ+kiFOOc6RFUJ4ZNoFbbfSmHCyH0+JApNxxpZQl9nLnw==" w:salt="yfLhjdFDGHwLPSoPE6vWa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66A"/>
    <w:rsid w:val="00244A2C"/>
    <w:rsid w:val="00246BA7"/>
    <w:rsid w:val="00247362"/>
    <w:rsid w:val="002507D6"/>
    <w:rsid w:val="00291AA5"/>
    <w:rsid w:val="002A23D0"/>
    <w:rsid w:val="002E6F8F"/>
    <w:rsid w:val="002E7CDB"/>
    <w:rsid w:val="002F348F"/>
    <w:rsid w:val="00316877"/>
    <w:rsid w:val="0032687F"/>
    <w:rsid w:val="00327808"/>
    <w:rsid w:val="00355B47"/>
    <w:rsid w:val="00363B24"/>
    <w:rsid w:val="003867D0"/>
    <w:rsid w:val="003A116F"/>
    <w:rsid w:val="003A2604"/>
    <w:rsid w:val="003A6E85"/>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54F8"/>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83C19"/>
    <w:rsid w:val="00C90753"/>
    <w:rsid w:val="00C91965"/>
    <w:rsid w:val="00C92D48"/>
    <w:rsid w:val="00CA222E"/>
    <w:rsid w:val="00CD2EB6"/>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16899"/>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3</Pages>
  <Words>904</Words>
  <Characters>5157</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126</cp:revision>
  <cp:lastPrinted>2021-04-13T15:07:00Z</cp:lastPrinted>
  <dcterms:created xsi:type="dcterms:W3CDTF">2021-02-10T14:55:00Z</dcterms:created>
  <dcterms:modified xsi:type="dcterms:W3CDTF">2024-01-25T13:28:00Z</dcterms:modified>
</cp:coreProperties>
</file>