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909D6">
      <w:pPr>
        <w:pStyle w:val="20"/>
        <w:shd w:val="clear" w:color="auto" w:fill="auto"/>
        <w:spacing w:line="230" w:lineRule="exact"/>
        <w:ind w:left="6521"/>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397188793" w:edGrp="everyone"/>
      <w:r w:rsidR="00F830E6">
        <w:rPr>
          <w:sz w:val="16"/>
          <w:szCs w:val="16"/>
          <w:lang w:val="ru-RU"/>
        </w:rPr>
        <w:t>____</w:t>
      </w:r>
      <w:permEnd w:id="1397188793"/>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13982387" w:edGrp="everyone"/>
      <w:r w:rsidR="00F830E6">
        <w:rPr>
          <w:sz w:val="16"/>
          <w:szCs w:val="16"/>
        </w:rPr>
        <w:t>_____________</w:t>
      </w:r>
      <w:permEnd w:id="113982387"/>
      <w:r w:rsidR="0065075B" w:rsidRPr="0065075B">
        <w:rPr>
          <w:sz w:val="16"/>
          <w:szCs w:val="16"/>
        </w:rPr>
        <w:t xml:space="preserve"> </w:t>
      </w:r>
      <w:r w:rsidR="00F830E6">
        <w:rPr>
          <w:sz w:val="16"/>
          <w:szCs w:val="16"/>
        </w:rPr>
        <w:t xml:space="preserve"> </w:t>
      </w:r>
      <w:permStart w:id="744244736" w:edGrp="everyone"/>
      <w:r w:rsidR="00F830E6">
        <w:rPr>
          <w:sz w:val="16"/>
          <w:szCs w:val="16"/>
        </w:rPr>
        <w:t>________</w:t>
      </w:r>
      <w:permEnd w:id="744244736"/>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09AA57EB"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«Ю-ГАЗ»</w:t>
      </w:r>
    </w:p>
    <w:p w14:paraId="4EF79418" w14:textId="053CA5BB"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CA5EE4">
        <w:rPr>
          <w:b/>
          <w:bCs/>
          <w:sz w:val="22"/>
          <w:szCs w:val="22"/>
          <w:lang w:eastAsia="ru-RU"/>
        </w:rPr>
        <w:t>жовтень</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D57F4A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r>
              <w:rPr>
                <w:b/>
                <w:color w:val="000000"/>
                <w:sz w:val="22"/>
                <w:szCs w:val="22"/>
                <w:lang w:eastAsia="ru-RU"/>
              </w:rPr>
              <w:t xml:space="preserve">  </w:t>
            </w:r>
            <w:permStart w:id="1950311126" w:edGrp="everyone"/>
            <w:r>
              <w:rPr>
                <w:b/>
                <w:color w:val="000000"/>
                <w:sz w:val="22"/>
                <w:szCs w:val="22"/>
                <w:lang w:eastAsia="ru-RU"/>
              </w:rPr>
              <w:t xml:space="preserve">                                                                                              </w:t>
            </w:r>
            <w:permEnd w:id="1950311126"/>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r>
              <w:rPr>
                <w:sz w:val="22"/>
                <w:szCs w:val="22"/>
              </w:rPr>
              <w:t xml:space="preserve"> </w:t>
            </w:r>
            <w:permStart w:id="1032541140" w:edGrp="everyone"/>
            <w:r>
              <w:rPr>
                <w:sz w:val="22"/>
                <w:szCs w:val="22"/>
              </w:rPr>
              <w:t xml:space="preserve">                                                                                                 </w:t>
            </w:r>
            <w:permEnd w:id="1032541140"/>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62EC9E19"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без ПДВ</w:t>
            </w:r>
            <w:r w:rsidR="00104D17">
              <w:rPr>
                <w:sz w:val="22"/>
                <w:szCs w:val="22"/>
                <w:lang w:eastAsia="ru-RU"/>
              </w:rPr>
              <w:t xml:space="preserve"> </w:t>
            </w:r>
            <w:r w:rsidR="008F2438">
              <w:rPr>
                <w:sz w:val="22"/>
                <w:szCs w:val="22"/>
                <w:lang w:eastAsia="ru-RU"/>
              </w:rPr>
              <w:t>7 6</w:t>
            </w:r>
            <w:r w:rsidR="00CA5EE4">
              <w:rPr>
                <w:sz w:val="22"/>
                <w:szCs w:val="22"/>
                <w:lang w:eastAsia="ru-RU"/>
              </w:rPr>
              <w:t>62</w:t>
            </w:r>
            <w:r w:rsidR="00B75D80">
              <w:rPr>
                <w:sz w:val="22"/>
                <w:szCs w:val="22"/>
                <w:lang w:eastAsia="ru-RU"/>
              </w:rPr>
              <w:t>,</w:t>
            </w:r>
            <w:r w:rsidR="00CA5EE4">
              <w:rPr>
                <w:sz w:val="22"/>
                <w:szCs w:val="22"/>
                <w:lang w:eastAsia="ru-RU"/>
              </w:rPr>
              <w:t>1</w:t>
            </w:r>
            <w:r w:rsidR="008F2438">
              <w:rPr>
                <w:sz w:val="22"/>
                <w:szCs w:val="22"/>
                <w:lang w:eastAsia="ru-RU"/>
              </w:rPr>
              <w:t>5</w:t>
            </w:r>
            <w:r w:rsidR="001F7746">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B75D80">
              <w:rPr>
                <w:sz w:val="22"/>
                <w:szCs w:val="22"/>
                <w:lang w:eastAsia="ru-RU"/>
              </w:rPr>
              <w:t>1</w:t>
            </w:r>
            <w:r w:rsidR="008F2438">
              <w:rPr>
                <w:sz w:val="22"/>
                <w:szCs w:val="22"/>
                <w:lang w:eastAsia="ru-RU"/>
              </w:rPr>
              <w:t>5</w:t>
            </w:r>
            <w:r w:rsidR="00CA5EE4">
              <w:rPr>
                <w:sz w:val="22"/>
                <w:szCs w:val="22"/>
                <w:lang w:eastAsia="ru-RU"/>
              </w:rPr>
              <w:t>32</w:t>
            </w:r>
            <w:r w:rsidR="00B75D80">
              <w:rPr>
                <w:sz w:val="22"/>
                <w:szCs w:val="22"/>
                <w:lang w:eastAsia="ru-RU"/>
              </w:rPr>
              <w:t>,</w:t>
            </w:r>
            <w:r w:rsidR="00CA5EE4">
              <w:rPr>
                <w:sz w:val="22"/>
                <w:szCs w:val="22"/>
                <w:lang w:eastAsia="ru-RU"/>
              </w:rPr>
              <w:t>43</w:t>
            </w:r>
            <w:r w:rsidR="008D6A0D">
              <w:rPr>
                <w:sz w:val="22"/>
                <w:szCs w:val="22"/>
                <w:lang w:eastAsia="ru-RU"/>
              </w:rPr>
              <w:t xml:space="preserve"> </w:t>
            </w:r>
            <w:r w:rsidRPr="00625653">
              <w:rPr>
                <w:sz w:val="22"/>
                <w:szCs w:val="22"/>
                <w:lang w:eastAsia="ru-RU"/>
              </w:rPr>
              <w:t xml:space="preserve">грн., разом з ПДВ </w:t>
            </w:r>
            <w:r w:rsidR="008F2438">
              <w:rPr>
                <w:sz w:val="22"/>
                <w:szCs w:val="22"/>
                <w:lang w:eastAsia="ru-RU"/>
              </w:rPr>
              <w:t>9 1</w:t>
            </w:r>
            <w:r w:rsidR="00CA5EE4">
              <w:rPr>
                <w:sz w:val="22"/>
                <w:szCs w:val="22"/>
                <w:lang w:eastAsia="ru-RU"/>
              </w:rPr>
              <w:t>94</w:t>
            </w:r>
            <w:r w:rsidR="008F2438">
              <w:rPr>
                <w:sz w:val="22"/>
                <w:szCs w:val="22"/>
                <w:lang w:eastAsia="ru-RU"/>
              </w:rPr>
              <w:t>,</w:t>
            </w:r>
            <w:r w:rsidR="00244320">
              <w:rPr>
                <w:sz w:val="22"/>
                <w:szCs w:val="22"/>
                <w:lang w:eastAsia="ru-RU"/>
              </w:rPr>
              <w:t>5</w:t>
            </w:r>
            <w:r w:rsidR="00CA5EE4">
              <w:rPr>
                <w:sz w:val="22"/>
                <w:szCs w:val="22"/>
                <w:lang w:eastAsia="ru-RU"/>
              </w:rPr>
              <w:t>8</w:t>
            </w:r>
            <w:r w:rsidR="008D6A0D" w:rsidRPr="008D6A0D">
              <w:rPr>
                <w:sz w:val="22"/>
                <w:szCs w:val="22"/>
                <w:lang w:eastAsia="ru-RU"/>
              </w:rPr>
              <w:t xml:space="preserve"> </w:t>
            </w:r>
            <w:r w:rsidRPr="00625653">
              <w:rPr>
                <w:sz w:val="22"/>
                <w:szCs w:val="22"/>
                <w:lang w:eastAsia="ru-RU"/>
              </w:rPr>
              <w:t>(</w:t>
            </w:r>
            <w:r w:rsidR="008F2438">
              <w:rPr>
                <w:sz w:val="22"/>
                <w:szCs w:val="22"/>
                <w:lang w:eastAsia="ru-RU"/>
              </w:rPr>
              <w:t>дев’ять</w:t>
            </w:r>
            <w:r w:rsidR="008D6A0D">
              <w:rPr>
                <w:sz w:val="22"/>
                <w:szCs w:val="22"/>
                <w:lang w:eastAsia="ru-RU"/>
              </w:rPr>
              <w:t xml:space="preserve"> тисяч </w:t>
            </w:r>
            <w:r w:rsidR="00B75D80">
              <w:rPr>
                <w:sz w:val="22"/>
                <w:szCs w:val="22"/>
                <w:lang w:eastAsia="ru-RU"/>
              </w:rPr>
              <w:t xml:space="preserve">сто </w:t>
            </w:r>
            <w:r w:rsidR="00244320">
              <w:rPr>
                <w:sz w:val="22"/>
                <w:szCs w:val="22"/>
                <w:lang w:eastAsia="ru-RU"/>
              </w:rPr>
              <w:t>д</w:t>
            </w:r>
            <w:r w:rsidR="00CA5EE4">
              <w:rPr>
                <w:sz w:val="22"/>
                <w:szCs w:val="22"/>
                <w:lang w:eastAsia="ru-RU"/>
              </w:rPr>
              <w:t>ев’яносто чотири</w:t>
            </w:r>
            <w:r w:rsidR="00B75D80">
              <w:rPr>
                <w:sz w:val="22"/>
                <w:szCs w:val="22"/>
                <w:lang w:eastAsia="ru-RU"/>
              </w:rPr>
              <w:t xml:space="preserve"> грн. </w:t>
            </w:r>
            <w:r w:rsidR="00244320">
              <w:rPr>
                <w:sz w:val="22"/>
                <w:szCs w:val="22"/>
                <w:lang w:eastAsia="ru-RU"/>
              </w:rPr>
              <w:t>5</w:t>
            </w:r>
            <w:r w:rsidR="00CA5EE4">
              <w:rPr>
                <w:sz w:val="22"/>
                <w:szCs w:val="22"/>
                <w:lang w:eastAsia="ru-RU"/>
              </w:rPr>
              <w:t>8</w:t>
            </w:r>
            <w:r w:rsidR="00B75D80">
              <w:rPr>
                <w:sz w:val="22"/>
                <w:szCs w:val="22"/>
                <w:lang w:eastAsia="ru-RU"/>
              </w:rPr>
              <w:t xml:space="preserve"> коп.</w:t>
            </w:r>
            <w:r w:rsidR="00B07D07">
              <w:rPr>
                <w:sz w:val="22"/>
                <w:szCs w:val="22"/>
                <w:lang w:eastAsia="ru-RU"/>
              </w:rPr>
              <w:t>)</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493A1F93"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CA5EE4">
              <w:rPr>
                <w:rFonts w:eastAsia="Calibri" w:cs="Times New Roman"/>
                <w:sz w:val="22"/>
                <w:szCs w:val="22"/>
              </w:rPr>
              <w:t>жовтень</w:t>
            </w:r>
            <w:r w:rsidR="00E405DD">
              <w:rPr>
                <w:rFonts w:eastAsia="Calibri" w:cs="Times New Roman"/>
                <w:sz w:val="22"/>
                <w:szCs w:val="22"/>
              </w:rPr>
              <w:t xml:space="preserve"> 2024</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371166173" w:edGrp="everyone"/>
      <w:r>
        <w:rPr>
          <w:b/>
          <w:color w:val="000000"/>
          <w:sz w:val="22"/>
          <w:szCs w:val="22"/>
          <w:lang w:val="ru-RU" w:eastAsia="ru-RU"/>
        </w:rPr>
        <w:t>_________________</w:t>
      </w:r>
    </w:p>
    <w:permEnd w:id="1371166173"/>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2026007128" w:edGrp="everyone"/>
      <w:r>
        <w:rPr>
          <w:b/>
          <w:color w:val="000000"/>
          <w:sz w:val="22"/>
          <w:szCs w:val="22"/>
          <w:lang w:eastAsia="ru-RU"/>
        </w:rPr>
        <w:t>_____________</w:t>
      </w:r>
    </w:p>
    <w:permEnd w:id="2026007128"/>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030887069" w:edGrp="everyone"/>
      <w:r w:rsidR="00F830E6">
        <w:rPr>
          <w:b/>
          <w:color w:val="000000"/>
          <w:sz w:val="22"/>
          <w:szCs w:val="22"/>
          <w:lang w:eastAsia="ru-RU"/>
        </w:rPr>
        <w:t xml:space="preserve">                   </w:t>
      </w:r>
      <w:r w:rsidRPr="004C3303">
        <w:rPr>
          <w:b/>
          <w:color w:val="000000"/>
          <w:sz w:val="22"/>
          <w:szCs w:val="22"/>
          <w:lang w:eastAsia="ru-RU"/>
        </w:rPr>
        <w:t xml:space="preserve"> </w:t>
      </w:r>
      <w:permEnd w:id="1030887069"/>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05916555" w:edGrp="everyone"/>
      <w:r w:rsidR="00F830E6">
        <w:rPr>
          <w:b/>
          <w:color w:val="000000"/>
          <w:sz w:val="22"/>
          <w:szCs w:val="22"/>
          <w:lang w:eastAsia="ru-RU"/>
        </w:rPr>
        <w:t>_____</w:t>
      </w:r>
      <w:permEnd w:id="105916555"/>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743407274" w:edGrp="everyone"/>
      <w:r w:rsidR="00F830E6">
        <w:rPr>
          <w:b/>
          <w:color w:val="000000"/>
          <w:sz w:val="22"/>
          <w:szCs w:val="22"/>
          <w:lang w:eastAsia="ru-RU"/>
        </w:rPr>
        <w:t>____________</w:t>
      </w:r>
      <w:permEnd w:id="1743407274"/>
      <w:r w:rsidRPr="008B3362">
        <w:rPr>
          <w:b/>
          <w:color w:val="000000"/>
          <w:sz w:val="22"/>
          <w:szCs w:val="22"/>
          <w:lang w:eastAsia="ru-RU"/>
        </w:rPr>
        <w:t xml:space="preserve"> </w:t>
      </w:r>
      <w:permStart w:id="73087393" w:edGrp="everyone"/>
      <w:r w:rsidR="00F830E6">
        <w:rPr>
          <w:b/>
          <w:color w:val="000000"/>
          <w:sz w:val="22"/>
          <w:szCs w:val="22"/>
          <w:lang w:eastAsia="ru-RU"/>
        </w:rPr>
        <w:t>________</w:t>
      </w:r>
      <w:permEnd w:id="73087393"/>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1" w:cryptProviderType="rsaAES" w:cryptAlgorithmClass="hash" w:cryptAlgorithmType="typeAny" w:cryptAlgorithmSid="14" w:cryptSpinCount="100000" w:hash="8PVfsq91oyeOQcGNAWCnRuRbuX7jfHlBXRKxptoteckShd4GPlNoQ/VVRruimk6DEBR6L4gIsZSp5M9rweTi/w==" w:salt="/fILu9H7OqFs7kRxVOqhr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452B"/>
    <w:rsid w:val="001571E0"/>
    <w:rsid w:val="00167300"/>
    <w:rsid w:val="00182E66"/>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2339"/>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B13FD"/>
    <w:rsid w:val="007C091D"/>
    <w:rsid w:val="007E6B51"/>
    <w:rsid w:val="00804853"/>
    <w:rsid w:val="00804D45"/>
    <w:rsid w:val="00822C9D"/>
    <w:rsid w:val="0086489C"/>
    <w:rsid w:val="008849F6"/>
    <w:rsid w:val="008909D6"/>
    <w:rsid w:val="0089600E"/>
    <w:rsid w:val="008A77B2"/>
    <w:rsid w:val="008B3362"/>
    <w:rsid w:val="008B38E0"/>
    <w:rsid w:val="008B3913"/>
    <w:rsid w:val="008B706D"/>
    <w:rsid w:val="008C2AA9"/>
    <w:rsid w:val="008D6A0D"/>
    <w:rsid w:val="008F2438"/>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5D80"/>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A5EE4"/>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851</Words>
  <Characters>4856</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2</cp:revision>
  <cp:lastPrinted>2021-04-13T15:07:00Z</cp:lastPrinted>
  <dcterms:created xsi:type="dcterms:W3CDTF">2024-09-23T12:56:00Z</dcterms:created>
  <dcterms:modified xsi:type="dcterms:W3CDTF">2024-09-23T12:56:00Z</dcterms:modified>
</cp:coreProperties>
</file>